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B9D3" w14:textId="632939A8" w:rsidR="004263DE" w:rsidRDefault="004263DE" w:rsidP="008F0125">
      <w:pPr>
        <w:ind w:hanging="540"/>
        <w:rPr>
          <w:b/>
          <w:sz w:val="20"/>
          <w:szCs w:val="20"/>
        </w:rPr>
      </w:pPr>
      <w:bookmarkStart w:id="0" w:name="_Hlk506487517"/>
      <w:bookmarkEnd w:id="0"/>
      <w:r>
        <w:rPr>
          <w:b/>
          <w:noProof/>
          <w:sz w:val="20"/>
          <w:szCs w:val="20"/>
        </w:rPr>
        <w:drawing>
          <wp:inline distT="0" distB="0" distL="0" distR="0" wp14:anchorId="3C2275B4" wp14:editId="7DD88A85">
            <wp:extent cx="3858768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Tag_RGB_07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F012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F0125">
        <w:rPr>
          <w:b/>
          <w:noProof/>
          <w:sz w:val="20"/>
          <w:szCs w:val="20"/>
        </w:rPr>
        <w:drawing>
          <wp:inline distT="0" distB="0" distL="0" distR="0" wp14:anchorId="08C75CC2" wp14:editId="633E2BF5">
            <wp:extent cx="758952" cy="9601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JC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0C3F" w14:textId="7500A79F" w:rsidR="004263DE" w:rsidRDefault="004263DE" w:rsidP="004263DE">
      <w:pPr>
        <w:ind w:hanging="540"/>
        <w:jc w:val="center"/>
        <w:rPr>
          <w:b/>
          <w:sz w:val="20"/>
          <w:szCs w:val="20"/>
        </w:rPr>
      </w:pPr>
    </w:p>
    <w:p w14:paraId="352B7DB1" w14:textId="6081BDC0" w:rsidR="004263DE" w:rsidRDefault="004263DE" w:rsidP="004263DE">
      <w:pPr>
        <w:ind w:hanging="540"/>
        <w:jc w:val="center"/>
        <w:rPr>
          <w:b/>
          <w:sz w:val="20"/>
          <w:szCs w:val="20"/>
        </w:rPr>
      </w:pPr>
    </w:p>
    <w:p w14:paraId="3D9F0DFF" w14:textId="77777777" w:rsidR="004263DE" w:rsidRDefault="004263DE" w:rsidP="004263DE">
      <w:pPr>
        <w:ind w:hanging="540"/>
        <w:jc w:val="center"/>
        <w:rPr>
          <w:b/>
          <w:sz w:val="20"/>
          <w:szCs w:val="20"/>
        </w:rPr>
      </w:pPr>
    </w:p>
    <w:p w14:paraId="19E8D41E" w14:textId="3C944766" w:rsidR="004263DE" w:rsidRPr="00AE712F" w:rsidRDefault="004263DE" w:rsidP="004263DE">
      <w:pPr>
        <w:ind w:hanging="540"/>
        <w:jc w:val="center"/>
        <w:rPr>
          <w:b/>
          <w:sz w:val="20"/>
          <w:szCs w:val="20"/>
        </w:rPr>
      </w:pPr>
      <w:r w:rsidRPr="00AE712F">
        <w:rPr>
          <w:b/>
          <w:sz w:val="20"/>
          <w:szCs w:val="20"/>
        </w:rPr>
        <w:t>Conflict of Interest Disclosure Form for</w:t>
      </w:r>
      <w:r>
        <w:rPr>
          <w:b/>
          <w:sz w:val="20"/>
          <w:szCs w:val="20"/>
        </w:rPr>
        <w:t xml:space="preserve"> </w:t>
      </w:r>
      <w:r w:rsidRPr="006F1D94">
        <w:rPr>
          <w:b/>
          <w:i/>
          <w:sz w:val="20"/>
          <w:szCs w:val="20"/>
        </w:rPr>
        <w:t xml:space="preserve">The </w:t>
      </w:r>
      <w:r w:rsidR="008F0125">
        <w:rPr>
          <w:b/>
          <w:i/>
          <w:sz w:val="20"/>
          <w:szCs w:val="20"/>
        </w:rPr>
        <w:t xml:space="preserve">American </w:t>
      </w:r>
      <w:r w:rsidRPr="006F1D94">
        <w:rPr>
          <w:b/>
          <w:i/>
          <w:sz w:val="20"/>
          <w:szCs w:val="20"/>
        </w:rPr>
        <w:t xml:space="preserve">Journal of </w:t>
      </w:r>
      <w:r w:rsidR="008F0125">
        <w:rPr>
          <w:b/>
          <w:i/>
          <w:sz w:val="20"/>
          <w:szCs w:val="20"/>
        </w:rPr>
        <w:t>Clinical</w:t>
      </w:r>
      <w:r w:rsidRPr="006F1D94">
        <w:rPr>
          <w:b/>
          <w:i/>
          <w:sz w:val="20"/>
          <w:szCs w:val="20"/>
        </w:rPr>
        <w:t xml:space="preserve"> Nutrition</w:t>
      </w:r>
    </w:p>
    <w:p w14:paraId="141E4CA2" w14:textId="77777777" w:rsidR="004263DE" w:rsidRPr="00AE712F" w:rsidRDefault="004263DE" w:rsidP="004263DE">
      <w:pPr>
        <w:ind w:hanging="540"/>
        <w:jc w:val="center"/>
        <w:rPr>
          <w:b/>
          <w:sz w:val="20"/>
          <w:szCs w:val="20"/>
        </w:rPr>
      </w:pPr>
      <w:r w:rsidRPr="00AE712F">
        <w:rPr>
          <w:b/>
          <w:sz w:val="20"/>
          <w:szCs w:val="20"/>
        </w:rPr>
        <w:t>Supplement Coordinators</w:t>
      </w:r>
    </w:p>
    <w:p w14:paraId="696E8C23" w14:textId="77777777" w:rsidR="004263DE" w:rsidRPr="00AE712F" w:rsidRDefault="004263DE" w:rsidP="004263DE">
      <w:pPr>
        <w:ind w:hanging="540"/>
        <w:jc w:val="center"/>
        <w:rPr>
          <w:b/>
          <w:sz w:val="20"/>
          <w:szCs w:val="20"/>
        </w:rPr>
      </w:pPr>
    </w:p>
    <w:p w14:paraId="5102F7C6" w14:textId="77777777" w:rsidR="004263DE" w:rsidRPr="00AE712F" w:rsidRDefault="004263DE" w:rsidP="004263DE">
      <w:pPr>
        <w:ind w:hanging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Guidance for Supplement </w:t>
      </w:r>
      <w:r w:rsidRPr="00AE712F">
        <w:rPr>
          <w:b/>
          <w:i/>
          <w:sz w:val="20"/>
          <w:szCs w:val="20"/>
        </w:rPr>
        <w:t>Coordinators:</w:t>
      </w:r>
    </w:p>
    <w:p w14:paraId="79E857B2" w14:textId="77777777" w:rsidR="004263DE" w:rsidRPr="00AE712F" w:rsidRDefault="004263DE" w:rsidP="004263DE">
      <w:pPr>
        <w:ind w:left="-547"/>
        <w:rPr>
          <w:i/>
          <w:sz w:val="20"/>
          <w:szCs w:val="20"/>
        </w:rPr>
      </w:pPr>
    </w:p>
    <w:p w14:paraId="61792FAA" w14:textId="64FEBCF6" w:rsidR="004263DE" w:rsidRPr="00AE712F" w:rsidRDefault="004263DE" w:rsidP="004263DE">
      <w:pPr>
        <w:ind w:left="-547"/>
        <w:rPr>
          <w:sz w:val="18"/>
          <w:szCs w:val="18"/>
        </w:rPr>
      </w:pPr>
      <w:r w:rsidRPr="00AA134F">
        <w:rPr>
          <w:sz w:val="20"/>
          <w:szCs w:val="20"/>
        </w:rPr>
        <w:t xml:space="preserve">The integrity of </w:t>
      </w:r>
      <w:r w:rsidRPr="00CF6FFA">
        <w:rPr>
          <w:i/>
          <w:sz w:val="20"/>
          <w:szCs w:val="20"/>
        </w:rPr>
        <w:t xml:space="preserve">The </w:t>
      </w:r>
      <w:r w:rsidR="00CC02AA">
        <w:rPr>
          <w:i/>
          <w:sz w:val="20"/>
          <w:szCs w:val="20"/>
        </w:rPr>
        <w:t xml:space="preserve">American </w:t>
      </w:r>
      <w:r w:rsidRPr="00CF6FFA">
        <w:rPr>
          <w:i/>
          <w:sz w:val="20"/>
          <w:szCs w:val="20"/>
        </w:rPr>
        <w:t xml:space="preserve">Journal of </w:t>
      </w:r>
      <w:r w:rsidR="00CC02AA">
        <w:rPr>
          <w:i/>
          <w:sz w:val="20"/>
          <w:szCs w:val="20"/>
        </w:rPr>
        <w:t xml:space="preserve">Clinical </w:t>
      </w:r>
      <w:r w:rsidRPr="00CF6FFA">
        <w:rPr>
          <w:i/>
          <w:sz w:val="20"/>
          <w:szCs w:val="20"/>
        </w:rPr>
        <w:t>Nutrition</w:t>
      </w:r>
      <w:r w:rsidRPr="00AA134F">
        <w:rPr>
          <w:sz w:val="20"/>
          <w:szCs w:val="20"/>
        </w:rPr>
        <w:t xml:space="preserve"> (</w:t>
      </w:r>
      <w:r w:rsidR="00CC02AA" w:rsidRPr="00CC02AA">
        <w:rPr>
          <w:i/>
          <w:sz w:val="20"/>
          <w:szCs w:val="20"/>
        </w:rPr>
        <w:t>A</w:t>
      </w:r>
      <w:r w:rsidRPr="00CF6FFA">
        <w:rPr>
          <w:i/>
          <w:sz w:val="20"/>
          <w:szCs w:val="20"/>
        </w:rPr>
        <w:t>J</w:t>
      </w:r>
      <w:r w:rsidR="00CC02AA">
        <w:rPr>
          <w:i/>
          <w:sz w:val="20"/>
          <w:szCs w:val="20"/>
        </w:rPr>
        <w:t>C</w:t>
      </w:r>
      <w:r w:rsidRPr="00CF6FFA">
        <w:rPr>
          <w:i/>
          <w:sz w:val="20"/>
          <w:szCs w:val="20"/>
        </w:rPr>
        <w:t>N</w:t>
      </w:r>
      <w:r w:rsidRPr="00AA134F">
        <w:rPr>
          <w:sz w:val="20"/>
          <w:szCs w:val="20"/>
        </w:rPr>
        <w:t>)</w:t>
      </w:r>
      <w:r w:rsidR="00F9684C">
        <w:rPr>
          <w:sz w:val="20"/>
          <w:szCs w:val="20"/>
        </w:rPr>
        <w:t>;</w:t>
      </w:r>
      <w:r w:rsidRPr="00AA134F">
        <w:rPr>
          <w:sz w:val="20"/>
          <w:szCs w:val="20"/>
        </w:rPr>
        <w:t xml:space="preserve"> its authors</w:t>
      </w:r>
      <w:r w:rsidR="00F9684C">
        <w:rPr>
          <w:sz w:val="20"/>
          <w:szCs w:val="20"/>
        </w:rPr>
        <w:t>;</w:t>
      </w:r>
      <w:r w:rsidRPr="00AA134F">
        <w:rPr>
          <w:sz w:val="20"/>
          <w:szCs w:val="20"/>
        </w:rPr>
        <w:t xml:space="preserve"> its publisher, </w:t>
      </w:r>
      <w:r w:rsidR="00F9684C">
        <w:rPr>
          <w:sz w:val="20"/>
          <w:szCs w:val="20"/>
        </w:rPr>
        <w:t xml:space="preserve">Oxford University Press; and its owner, </w:t>
      </w:r>
      <w:r w:rsidRPr="00AA134F">
        <w:rPr>
          <w:sz w:val="20"/>
          <w:szCs w:val="20"/>
        </w:rPr>
        <w:t xml:space="preserve">the American </w:t>
      </w:r>
      <w:r w:rsidRPr="00AE712F">
        <w:rPr>
          <w:sz w:val="18"/>
          <w:szCs w:val="18"/>
        </w:rPr>
        <w:t>Society for Nutrition (ASN), is best served by full disclosure of any potential conflicts of interest on the part of supplement sponsors</w:t>
      </w:r>
      <w:r>
        <w:rPr>
          <w:sz w:val="18"/>
          <w:szCs w:val="18"/>
        </w:rPr>
        <w:t xml:space="preserve"> and</w:t>
      </w:r>
      <w:r w:rsidRPr="00AE712F">
        <w:rPr>
          <w:sz w:val="18"/>
          <w:szCs w:val="18"/>
        </w:rPr>
        <w:t xml:space="preserve"> coordinators. Therefore, ASN policy requires that supplement coordinators disclose to the Society prior to publication, any conflict of interest or any appearance of a conflict of interest </w:t>
      </w:r>
      <w:r w:rsidR="00F9684C">
        <w:rPr>
          <w:sz w:val="18"/>
          <w:szCs w:val="18"/>
        </w:rPr>
        <w:t>that</w:t>
      </w:r>
      <w:r w:rsidRPr="00AE712F">
        <w:rPr>
          <w:sz w:val="18"/>
          <w:szCs w:val="18"/>
        </w:rPr>
        <w:t xml:space="preserve"> could exist </w:t>
      </w:r>
      <w:proofErr w:type="gramStart"/>
      <w:r w:rsidRPr="00AE712F">
        <w:rPr>
          <w:sz w:val="18"/>
          <w:szCs w:val="18"/>
        </w:rPr>
        <w:t>as a result of</w:t>
      </w:r>
      <w:proofErr w:type="gramEnd"/>
      <w:r w:rsidRPr="00AE712F">
        <w:rPr>
          <w:sz w:val="18"/>
          <w:szCs w:val="18"/>
        </w:rPr>
        <w:t xml:space="preserve"> their association with the proposed publication. A conflict of interest includes, but is not limited to:</w:t>
      </w:r>
    </w:p>
    <w:p w14:paraId="01266B19" w14:textId="77777777" w:rsidR="004263DE" w:rsidRPr="00AE712F" w:rsidRDefault="004263DE" w:rsidP="004263DE">
      <w:pPr>
        <w:ind w:left="-547"/>
        <w:rPr>
          <w:sz w:val="18"/>
          <w:szCs w:val="18"/>
        </w:rPr>
      </w:pPr>
    </w:p>
    <w:p w14:paraId="39E7457F" w14:textId="3A3B3D11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any significant financial interest in a company/supplement sponsor</w:t>
      </w:r>
      <w:r w:rsidR="00F9684C">
        <w:rPr>
          <w:sz w:val="18"/>
          <w:szCs w:val="18"/>
        </w:rPr>
        <w:t>;</w:t>
      </w:r>
    </w:p>
    <w:p w14:paraId="7861E171" w14:textId="2FFF2202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a current grant, contract or subcontract, or consulting agreement with the supplement sponsor</w:t>
      </w:r>
      <w:r w:rsidR="00F9684C">
        <w:rPr>
          <w:sz w:val="18"/>
          <w:szCs w:val="18"/>
        </w:rPr>
        <w:t>;</w:t>
      </w:r>
    </w:p>
    <w:p w14:paraId="5E129C38" w14:textId="476FC098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employment by supplement sponsor</w:t>
      </w:r>
      <w:r w:rsidR="00F9684C">
        <w:rPr>
          <w:sz w:val="18"/>
          <w:szCs w:val="18"/>
        </w:rPr>
        <w:t>;</w:t>
      </w:r>
    </w:p>
    <w:p w14:paraId="0AFFE70A" w14:textId="1A9D7484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financial interest in a product or procedure that is mentioned in an article included in the publication</w:t>
      </w:r>
      <w:r w:rsidR="00F9684C">
        <w:rPr>
          <w:sz w:val="18"/>
          <w:szCs w:val="18"/>
        </w:rPr>
        <w:t>;</w:t>
      </w:r>
    </w:p>
    <w:p w14:paraId="164F242E" w14:textId="03732802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receipt of compensation from the supplement sponsor for services performed as supplement coordinator</w:t>
      </w:r>
      <w:r w:rsidR="00F9684C">
        <w:rPr>
          <w:sz w:val="18"/>
          <w:szCs w:val="18"/>
        </w:rPr>
        <w:t>;</w:t>
      </w:r>
    </w:p>
    <w:p w14:paraId="752BBF5E" w14:textId="74BDED4C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compensation from supplement sponsor for attending, speaking at</w:t>
      </w:r>
      <w:r w:rsidR="00F9684C">
        <w:rPr>
          <w:sz w:val="18"/>
          <w:szCs w:val="18"/>
        </w:rPr>
        <w:t>,</w:t>
      </w:r>
      <w:r w:rsidRPr="00AE712F">
        <w:rPr>
          <w:sz w:val="18"/>
          <w:szCs w:val="18"/>
        </w:rPr>
        <w:t xml:space="preserve"> or organizing a meeting or symposium</w:t>
      </w:r>
      <w:r w:rsidR="00F9684C">
        <w:rPr>
          <w:sz w:val="18"/>
          <w:szCs w:val="18"/>
        </w:rPr>
        <w:t>;</w:t>
      </w:r>
    </w:p>
    <w:p w14:paraId="2A595E01" w14:textId="46C37E72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compensation from supplement sponsor for organizing, writing, editing</w:t>
      </w:r>
      <w:r w:rsidR="00F9684C">
        <w:rPr>
          <w:sz w:val="18"/>
          <w:szCs w:val="18"/>
        </w:rPr>
        <w:t>,</w:t>
      </w:r>
      <w:r w:rsidRPr="00AE712F">
        <w:rPr>
          <w:sz w:val="18"/>
          <w:szCs w:val="18"/>
        </w:rPr>
        <w:t xml:space="preserve"> or reviewing a manuscript</w:t>
      </w:r>
      <w:r w:rsidR="00F9684C">
        <w:rPr>
          <w:sz w:val="18"/>
          <w:szCs w:val="18"/>
        </w:rPr>
        <w:t>,</w:t>
      </w:r>
      <w:r w:rsidRPr="00AE712F">
        <w:rPr>
          <w:sz w:val="18"/>
          <w:szCs w:val="18"/>
        </w:rPr>
        <w:t xml:space="preserve"> collection of manuscripts, supplement publication, book</w:t>
      </w:r>
      <w:r w:rsidR="00F9684C">
        <w:rPr>
          <w:sz w:val="18"/>
          <w:szCs w:val="18"/>
        </w:rPr>
        <w:t>,</w:t>
      </w:r>
      <w:r w:rsidRPr="00AE712F">
        <w:rPr>
          <w:sz w:val="18"/>
          <w:szCs w:val="18"/>
        </w:rPr>
        <w:t xml:space="preserve"> or other published work</w:t>
      </w:r>
      <w:r w:rsidR="00F9684C">
        <w:rPr>
          <w:sz w:val="18"/>
          <w:szCs w:val="18"/>
        </w:rPr>
        <w:t>;</w:t>
      </w:r>
    </w:p>
    <w:p w14:paraId="417812B9" w14:textId="77777777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holding stocks or shares in supplement sponsor or other organization that may gain or lose financially from the information included in supplement publication; and</w:t>
      </w:r>
    </w:p>
    <w:p w14:paraId="36730C30" w14:textId="77777777" w:rsidR="004263DE" w:rsidRPr="00AE712F" w:rsidRDefault="004263DE" w:rsidP="004263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E712F">
        <w:rPr>
          <w:sz w:val="18"/>
          <w:szCs w:val="18"/>
        </w:rPr>
        <w:t>acting as an expert witness on the topic of the supplement publication.</w:t>
      </w:r>
    </w:p>
    <w:p w14:paraId="76A76420" w14:textId="77777777" w:rsidR="004263DE" w:rsidRPr="00AE712F" w:rsidRDefault="004263DE" w:rsidP="004263DE">
      <w:pPr>
        <w:rPr>
          <w:sz w:val="18"/>
          <w:szCs w:val="18"/>
        </w:rPr>
      </w:pPr>
    </w:p>
    <w:p w14:paraId="0EB925E6" w14:textId="5D0B7550" w:rsidR="004263DE" w:rsidRPr="00AE712F" w:rsidRDefault="004263DE" w:rsidP="004263DE">
      <w:pPr>
        <w:ind w:left="-547"/>
        <w:rPr>
          <w:sz w:val="18"/>
          <w:szCs w:val="18"/>
        </w:rPr>
      </w:pPr>
      <w:r w:rsidRPr="00AE712F">
        <w:rPr>
          <w:sz w:val="18"/>
          <w:szCs w:val="18"/>
        </w:rPr>
        <w:t xml:space="preserve">The following footnotes will be included on all supplement manuscripts: (1) Statement of supplement publication and identification of </w:t>
      </w:r>
      <w:r>
        <w:rPr>
          <w:sz w:val="18"/>
          <w:szCs w:val="18"/>
        </w:rPr>
        <w:t>S</w:t>
      </w:r>
      <w:r w:rsidRPr="00AE712F">
        <w:rPr>
          <w:sz w:val="18"/>
          <w:szCs w:val="18"/>
        </w:rPr>
        <w:t xml:space="preserve">upplement </w:t>
      </w:r>
      <w:r>
        <w:rPr>
          <w:sz w:val="18"/>
          <w:szCs w:val="18"/>
        </w:rPr>
        <w:t>C</w:t>
      </w:r>
      <w:r w:rsidRPr="00AE712F">
        <w:rPr>
          <w:sz w:val="18"/>
          <w:szCs w:val="18"/>
        </w:rPr>
        <w:t xml:space="preserve">oordinator(s) and </w:t>
      </w:r>
      <w:r>
        <w:rPr>
          <w:sz w:val="18"/>
          <w:szCs w:val="18"/>
        </w:rPr>
        <w:t>S</w:t>
      </w:r>
      <w:r w:rsidRPr="00AE712F">
        <w:rPr>
          <w:sz w:val="18"/>
          <w:szCs w:val="18"/>
        </w:rPr>
        <w:t xml:space="preserve">upplement </w:t>
      </w:r>
      <w:r>
        <w:rPr>
          <w:sz w:val="18"/>
          <w:szCs w:val="18"/>
        </w:rPr>
        <w:t>Guest E</w:t>
      </w:r>
      <w:r w:rsidRPr="00AE712F">
        <w:rPr>
          <w:sz w:val="18"/>
          <w:szCs w:val="18"/>
        </w:rPr>
        <w:t xml:space="preserve">ditor; (2) Supplement </w:t>
      </w:r>
      <w:r>
        <w:rPr>
          <w:sz w:val="18"/>
          <w:szCs w:val="18"/>
        </w:rPr>
        <w:t>C</w:t>
      </w:r>
      <w:r w:rsidRPr="00AE712F">
        <w:rPr>
          <w:sz w:val="18"/>
          <w:szCs w:val="18"/>
        </w:rPr>
        <w:t xml:space="preserve">oordinator disclosure statement and supplement </w:t>
      </w:r>
      <w:r>
        <w:rPr>
          <w:sz w:val="18"/>
          <w:szCs w:val="18"/>
        </w:rPr>
        <w:t>Guest E</w:t>
      </w:r>
      <w:r w:rsidRPr="00AE712F">
        <w:rPr>
          <w:sz w:val="18"/>
          <w:szCs w:val="18"/>
        </w:rPr>
        <w:t>ditor disclosure statement</w:t>
      </w:r>
      <w:r>
        <w:rPr>
          <w:sz w:val="18"/>
          <w:szCs w:val="18"/>
        </w:rPr>
        <w:t>;</w:t>
      </w:r>
      <w:r w:rsidRPr="00AE712F">
        <w:rPr>
          <w:sz w:val="18"/>
          <w:szCs w:val="18"/>
        </w:rPr>
        <w:t xml:space="preserve"> and (3) Author disclosure statement. Examples are provided below: </w:t>
      </w:r>
    </w:p>
    <w:p w14:paraId="6FEFAF36" w14:textId="77777777" w:rsidR="004263DE" w:rsidRPr="00AE712F" w:rsidRDefault="004263DE" w:rsidP="004263DE">
      <w:pPr>
        <w:ind w:left="-547"/>
        <w:rPr>
          <w:sz w:val="18"/>
          <w:szCs w:val="18"/>
        </w:rPr>
      </w:pPr>
    </w:p>
    <w:p w14:paraId="59218F78" w14:textId="7D95B191" w:rsidR="004263DE" w:rsidRPr="00AE712F" w:rsidRDefault="004263DE" w:rsidP="004263DE">
      <w:pPr>
        <w:ind w:left="-547"/>
        <w:rPr>
          <w:sz w:val="18"/>
          <w:szCs w:val="18"/>
        </w:rPr>
      </w:pPr>
      <w:r w:rsidRPr="00AE712F">
        <w:rPr>
          <w:sz w:val="18"/>
          <w:szCs w:val="18"/>
          <w:vertAlign w:val="superscript"/>
        </w:rPr>
        <w:t>1</w:t>
      </w:r>
      <w:r w:rsidRPr="00AE712F">
        <w:rPr>
          <w:sz w:val="18"/>
          <w:szCs w:val="18"/>
        </w:rPr>
        <w:t xml:space="preserve">Published in a supplement to </w:t>
      </w:r>
      <w:r w:rsidRPr="00AE712F">
        <w:rPr>
          <w:i/>
          <w:sz w:val="18"/>
          <w:szCs w:val="18"/>
        </w:rPr>
        <w:t xml:space="preserve">The </w:t>
      </w:r>
      <w:r w:rsidR="00CC02AA">
        <w:rPr>
          <w:i/>
          <w:sz w:val="18"/>
          <w:szCs w:val="18"/>
        </w:rPr>
        <w:t xml:space="preserve">American </w:t>
      </w:r>
      <w:r w:rsidRPr="00AE712F">
        <w:rPr>
          <w:i/>
          <w:sz w:val="18"/>
          <w:szCs w:val="18"/>
        </w:rPr>
        <w:t xml:space="preserve">Journal of </w:t>
      </w:r>
      <w:r w:rsidR="00CC02AA">
        <w:rPr>
          <w:i/>
          <w:sz w:val="18"/>
          <w:szCs w:val="18"/>
        </w:rPr>
        <w:t xml:space="preserve">Clinical </w:t>
      </w:r>
      <w:r w:rsidRPr="00AE712F">
        <w:rPr>
          <w:i/>
          <w:sz w:val="18"/>
          <w:szCs w:val="18"/>
        </w:rPr>
        <w:t>Nutrition</w:t>
      </w:r>
      <w:r w:rsidRPr="00AE712F">
        <w:rPr>
          <w:sz w:val="18"/>
          <w:szCs w:val="18"/>
        </w:rPr>
        <w:t>. Presented at the “American Society of Research, 25</w:t>
      </w:r>
      <w:r w:rsidRPr="00AE712F">
        <w:rPr>
          <w:sz w:val="18"/>
          <w:szCs w:val="18"/>
          <w:vertAlign w:val="superscript"/>
        </w:rPr>
        <w:t>th</w:t>
      </w:r>
      <w:r w:rsidRPr="00AE712F">
        <w:rPr>
          <w:sz w:val="18"/>
          <w:szCs w:val="18"/>
        </w:rPr>
        <w:t xml:space="preserve"> Annual Meeting,” held in Albany, NY, September 19–23, 2003. The American Society of Research, 25</w:t>
      </w:r>
      <w:r w:rsidRPr="00AE712F">
        <w:rPr>
          <w:sz w:val="18"/>
          <w:szCs w:val="18"/>
          <w:vertAlign w:val="superscript"/>
        </w:rPr>
        <w:t>th</w:t>
      </w:r>
      <w:r w:rsidRPr="00AE712F">
        <w:rPr>
          <w:sz w:val="18"/>
          <w:szCs w:val="18"/>
        </w:rPr>
        <w:t xml:space="preserve"> Annual Meeting was sponsored by the XYZ Council and by Axon Corporation. Supplement coordinators for th</w:t>
      </w:r>
      <w:r>
        <w:rPr>
          <w:sz w:val="18"/>
          <w:szCs w:val="18"/>
        </w:rPr>
        <w:t>e</w:t>
      </w:r>
      <w:r w:rsidRPr="00AE712F">
        <w:rPr>
          <w:sz w:val="18"/>
          <w:szCs w:val="18"/>
        </w:rPr>
        <w:t xml:space="preserve"> supplement publication were Mary J. West, College of Nutrition, University of Southwest, Tempe, AZ and Frances Miller, University of Trumansburg, Memphis, TN.</w:t>
      </w:r>
    </w:p>
    <w:p w14:paraId="7789DB50" w14:textId="77777777" w:rsidR="004263DE" w:rsidRPr="00AE712F" w:rsidRDefault="004263DE" w:rsidP="004263DE">
      <w:pPr>
        <w:ind w:left="-547"/>
        <w:rPr>
          <w:sz w:val="18"/>
          <w:szCs w:val="18"/>
        </w:rPr>
      </w:pPr>
    </w:p>
    <w:p w14:paraId="7EAF7B67" w14:textId="77777777" w:rsidR="004263DE" w:rsidRPr="00AE712F" w:rsidRDefault="004263DE" w:rsidP="004263DE">
      <w:pPr>
        <w:ind w:left="-547"/>
        <w:rPr>
          <w:sz w:val="18"/>
          <w:szCs w:val="18"/>
        </w:rPr>
      </w:pPr>
      <w:r w:rsidRPr="00AE712F">
        <w:rPr>
          <w:sz w:val="18"/>
          <w:szCs w:val="18"/>
          <w:vertAlign w:val="superscript"/>
        </w:rPr>
        <w:t>2</w:t>
      </w:r>
      <w:r w:rsidRPr="00AE712F">
        <w:rPr>
          <w:sz w:val="18"/>
          <w:szCs w:val="18"/>
        </w:rPr>
        <w:t xml:space="preserve"> Supplement coordinator disclosure: Drs. West and Miller received travel support from The XYZ Council; Drs. West and Miller received compensation from The XYZ Council for editorial services provided for this supplement publication; Dr. West received an unrestricted grant from Axon Corporation. </w:t>
      </w:r>
      <w:r>
        <w:rPr>
          <w:sz w:val="18"/>
          <w:szCs w:val="18"/>
        </w:rPr>
        <w:t>The guest editor for this supplement was Henry Undertones. Guest</w:t>
      </w:r>
      <w:r w:rsidRPr="00AE712F">
        <w:rPr>
          <w:sz w:val="18"/>
          <w:szCs w:val="18"/>
        </w:rPr>
        <w:t xml:space="preserve"> editor disclosure: no conflicts to disclose</w:t>
      </w:r>
      <w:r>
        <w:rPr>
          <w:sz w:val="18"/>
          <w:szCs w:val="18"/>
        </w:rPr>
        <w:t>.</w:t>
      </w:r>
    </w:p>
    <w:p w14:paraId="2D1E1BA0" w14:textId="77777777" w:rsidR="004263DE" w:rsidRPr="00AE712F" w:rsidRDefault="004263DE" w:rsidP="004263DE">
      <w:pPr>
        <w:ind w:left="-547"/>
        <w:rPr>
          <w:sz w:val="18"/>
          <w:szCs w:val="18"/>
        </w:rPr>
      </w:pPr>
    </w:p>
    <w:p w14:paraId="771690AE" w14:textId="77777777" w:rsidR="004263DE" w:rsidRPr="00AE712F" w:rsidRDefault="004263DE" w:rsidP="004263DE">
      <w:pPr>
        <w:ind w:left="-547"/>
        <w:rPr>
          <w:sz w:val="18"/>
          <w:szCs w:val="18"/>
        </w:rPr>
      </w:pPr>
      <w:r w:rsidRPr="00AE712F">
        <w:rPr>
          <w:sz w:val="18"/>
          <w:szCs w:val="18"/>
          <w:vertAlign w:val="superscript"/>
        </w:rPr>
        <w:t>3</w:t>
      </w:r>
      <w:r w:rsidRPr="00AE712F">
        <w:rPr>
          <w:sz w:val="18"/>
          <w:szCs w:val="18"/>
        </w:rPr>
        <w:t xml:space="preserve"> Author disclosure: Research reported in manuscript supported in part by Grant-in-Aid for Scientific Research (B) (2) (11460060 and 11460059). </w:t>
      </w:r>
    </w:p>
    <w:p w14:paraId="37B94EF5" w14:textId="77777777" w:rsidR="004263DE" w:rsidRPr="00AE712F" w:rsidRDefault="004263DE" w:rsidP="004263DE">
      <w:pPr>
        <w:ind w:left="-547"/>
        <w:rPr>
          <w:sz w:val="18"/>
          <w:szCs w:val="18"/>
        </w:rPr>
      </w:pPr>
    </w:p>
    <w:p w14:paraId="5B16EEA2" w14:textId="77777777" w:rsidR="004263DE" w:rsidRDefault="004263DE" w:rsidP="004263DE">
      <w:pPr>
        <w:ind w:left="-547"/>
        <w:rPr>
          <w:sz w:val="18"/>
          <w:szCs w:val="18"/>
        </w:rPr>
      </w:pPr>
      <w:r w:rsidRPr="00AE712F">
        <w:rPr>
          <w:sz w:val="18"/>
          <w:szCs w:val="18"/>
        </w:rPr>
        <w:t>Each supplement coordinator is required to consider the subject and content of the supplement publication in light of any potential relationships, as delineated above, that could present a conflict of interest or the appearance thereof and to submit a completed Conflict of Interest Disclosure Form, provided on page 2 of this document.</w:t>
      </w:r>
    </w:p>
    <w:p w14:paraId="19CDB0B1" w14:textId="77777777" w:rsidR="004263DE" w:rsidRDefault="004263DE" w:rsidP="004263DE">
      <w:pPr>
        <w:ind w:left="-547"/>
        <w:rPr>
          <w:sz w:val="18"/>
          <w:szCs w:val="18"/>
        </w:rPr>
      </w:pPr>
    </w:p>
    <w:p w14:paraId="0300491A" w14:textId="77777777" w:rsidR="004263DE" w:rsidRDefault="004263DE" w:rsidP="004263DE">
      <w:pPr>
        <w:ind w:left="-547"/>
        <w:rPr>
          <w:sz w:val="18"/>
          <w:szCs w:val="18"/>
        </w:rPr>
      </w:pPr>
    </w:p>
    <w:p w14:paraId="3D0112E8" w14:textId="686FBD8C" w:rsidR="004263DE" w:rsidRDefault="004263DE" w:rsidP="004263DE">
      <w:pPr>
        <w:jc w:val="center"/>
        <w:rPr>
          <w:sz w:val="18"/>
          <w:szCs w:val="18"/>
        </w:rPr>
      </w:pPr>
      <w:r>
        <w:rPr>
          <w:sz w:val="18"/>
          <w:szCs w:val="18"/>
        </w:rPr>
        <w:t>Return to: Marnie Vandenburg (marnie.vandenburg@oup.com)</w:t>
      </w:r>
    </w:p>
    <w:p w14:paraId="21C7A5CA" w14:textId="77777777" w:rsidR="004263DE" w:rsidRDefault="004263D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CD3D56B" w14:textId="2FE44A4E" w:rsidR="004263DE" w:rsidRPr="00AE712F" w:rsidRDefault="004263DE" w:rsidP="004263DE">
      <w:pPr>
        <w:ind w:left="-547"/>
        <w:jc w:val="center"/>
        <w:rPr>
          <w:b/>
          <w:i/>
          <w:sz w:val="20"/>
          <w:szCs w:val="20"/>
        </w:rPr>
      </w:pPr>
      <w:r w:rsidRPr="00AE712F">
        <w:rPr>
          <w:b/>
          <w:i/>
          <w:sz w:val="20"/>
          <w:szCs w:val="20"/>
        </w:rPr>
        <w:lastRenderedPageBreak/>
        <w:t xml:space="preserve">The </w:t>
      </w:r>
      <w:r w:rsidR="00CC02AA">
        <w:rPr>
          <w:b/>
          <w:i/>
          <w:sz w:val="20"/>
          <w:szCs w:val="20"/>
        </w:rPr>
        <w:t xml:space="preserve">American </w:t>
      </w:r>
      <w:r w:rsidRPr="00AE712F">
        <w:rPr>
          <w:b/>
          <w:i/>
          <w:sz w:val="20"/>
          <w:szCs w:val="20"/>
        </w:rPr>
        <w:t xml:space="preserve">Journal of </w:t>
      </w:r>
      <w:r w:rsidR="00CC02AA">
        <w:rPr>
          <w:b/>
          <w:i/>
          <w:sz w:val="20"/>
          <w:szCs w:val="20"/>
        </w:rPr>
        <w:t xml:space="preserve">Clinical </w:t>
      </w:r>
      <w:r w:rsidRPr="00AE712F">
        <w:rPr>
          <w:b/>
          <w:i/>
          <w:sz w:val="20"/>
          <w:szCs w:val="20"/>
        </w:rPr>
        <w:t>Nutrition</w:t>
      </w:r>
    </w:p>
    <w:p w14:paraId="25AF510D" w14:textId="77777777" w:rsidR="004263DE" w:rsidRPr="00AE712F" w:rsidRDefault="004263DE" w:rsidP="004263DE">
      <w:pPr>
        <w:ind w:hanging="540"/>
        <w:jc w:val="center"/>
        <w:rPr>
          <w:b/>
          <w:sz w:val="20"/>
          <w:szCs w:val="20"/>
        </w:rPr>
      </w:pPr>
      <w:r w:rsidRPr="00AE712F">
        <w:rPr>
          <w:b/>
          <w:sz w:val="20"/>
          <w:szCs w:val="20"/>
        </w:rPr>
        <w:t>Conflict of Interest Disclosure Form for</w:t>
      </w:r>
    </w:p>
    <w:p w14:paraId="51C517C5" w14:textId="77777777" w:rsidR="004263DE" w:rsidRPr="00AE712F" w:rsidRDefault="004263DE" w:rsidP="004263DE">
      <w:pPr>
        <w:ind w:hanging="540"/>
        <w:jc w:val="center"/>
        <w:rPr>
          <w:b/>
          <w:sz w:val="20"/>
          <w:szCs w:val="20"/>
        </w:rPr>
      </w:pPr>
      <w:r w:rsidRPr="00AE712F">
        <w:rPr>
          <w:b/>
          <w:sz w:val="20"/>
          <w:szCs w:val="20"/>
        </w:rPr>
        <w:t>Supplement Coordinators</w:t>
      </w:r>
    </w:p>
    <w:p w14:paraId="112DB550" w14:textId="77777777" w:rsidR="004263DE" w:rsidRDefault="004263DE" w:rsidP="004263DE">
      <w:pPr>
        <w:ind w:left="-547"/>
        <w:jc w:val="center"/>
        <w:rPr>
          <w:sz w:val="18"/>
          <w:szCs w:val="18"/>
        </w:rPr>
      </w:pPr>
    </w:p>
    <w:tbl>
      <w:tblPr>
        <w:tblStyle w:val="TableGrid"/>
        <w:tblW w:w="9475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90"/>
      </w:tblGrid>
      <w:tr w:rsidR="004263DE" w14:paraId="0925D1D9" w14:textId="77777777" w:rsidTr="000B003B">
        <w:trPr>
          <w:trHeight w:val="81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1918240" w14:textId="46EBA5AA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Supplement Publication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8FF7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  <w:tr w:rsidR="004263DE" w14:paraId="65BB62CE" w14:textId="77777777" w:rsidTr="000B003B">
        <w:tc>
          <w:tcPr>
            <w:tcW w:w="9475" w:type="dxa"/>
            <w:gridSpan w:val="2"/>
            <w:vAlign w:val="center"/>
          </w:tcPr>
          <w:p w14:paraId="0AF02084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Coordinator Responsibilities:</w:t>
            </w:r>
          </w:p>
          <w:p w14:paraId="391C21A6" w14:textId="4BBD8CFD" w:rsidR="004263DE" w:rsidRPr="00F73980" w:rsidRDefault="004263DE" w:rsidP="000B00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73980">
              <w:rPr>
                <w:sz w:val="18"/>
                <w:szCs w:val="18"/>
              </w:rPr>
              <w:t>All component manuscripts will be prepared in accordance with the most recent "</w:t>
            </w:r>
            <w:hyperlink r:id="rId7" w:history="1">
              <w:r w:rsidRPr="00F73980">
                <w:rPr>
                  <w:rStyle w:val="Hyperlink"/>
                  <w:sz w:val="18"/>
                  <w:szCs w:val="18"/>
                </w:rPr>
                <w:t>In</w:t>
              </w:r>
              <w:r>
                <w:rPr>
                  <w:rStyle w:val="Hyperlink"/>
                  <w:sz w:val="18"/>
                  <w:szCs w:val="18"/>
                </w:rPr>
                <w:t>structions to</w:t>
              </w:r>
              <w:r w:rsidRPr="00F73980">
                <w:rPr>
                  <w:rStyle w:val="Hyperlink"/>
                  <w:sz w:val="18"/>
                  <w:szCs w:val="18"/>
                </w:rPr>
                <w:t xml:space="preserve"> Authors</w:t>
              </w:r>
            </w:hyperlink>
            <w:r w:rsidRPr="00F73980">
              <w:rPr>
                <w:sz w:val="18"/>
                <w:szCs w:val="18"/>
              </w:rPr>
              <w:t>.”</w:t>
            </w:r>
          </w:p>
          <w:p w14:paraId="0743B1E7" w14:textId="4CF721AA" w:rsidR="004263DE" w:rsidRPr="00F73980" w:rsidRDefault="004263DE" w:rsidP="000B00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73980">
              <w:rPr>
                <w:sz w:val="18"/>
                <w:szCs w:val="18"/>
              </w:rPr>
              <w:t xml:space="preserve">Manuscripts must be submitted via </w:t>
            </w:r>
            <w:r w:rsidRPr="00A8413C">
              <w:rPr>
                <w:i/>
                <w:sz w:val="18"/>
                <w:szCs w:val="18"/>
              </w:rPr>
              <w:t>The</w:t>
            </w:r>
            <w:r w:rsidRPr="00CC02AA">
              <w:rPr>
                <w:i/>
                <w:sz w:val="18"/>
                <w:szCs w:val="18"/>
              </w:rPr>
              <w:t xml:space="preserve"> </w:t>
            </w:r>
            <w:r w:rsidR="00CC02AA" w:rsidRPr="00CC02AA">
              <w:rPr>
                <w:i/>
                <w:sz w:val="18"/>
                <w:szCs w:val="18"/>
              </w:rPr>
              <w:t xml:space="preserve">American </w:t>
            </w:r>
            <w:r>
              <w:rPr>
                <w:i/>
                <w:sz w:val="18"/>
                <w:szCs w:val="18"/>
              </w:rPr>
              <w:t xml:space="preserve">Journal of </w:t>
            </w:r>
            <w:r w:rsidR="00CC02AA">
              <w:rPr>
                <w:i/>
                <w:sz w:val="18"/>
                <w:szCs w:val="18"/>
              </w:rPr>
              <w:t xml:space="preserve">Clinical </w:t>
            </w:r>
            <w:r>
              <w:rPr>
                <w:i/>
                <w:sz w:val="18"/>
                <w:szCs w:val="18"/>
              </w:rPr>
              <w:t>Nutrition</w:t>
            </w:r>
            <w:r w:rsidRPr="00F73980">
              <w:rPr>
                <w:sz w:val="18"/>
                <w:szCs w:val="18"/>
              </w:rPr>
              <w:t xml:space="preserve"> online manuscript submission</w:t>
            </w:r>
            <w:r w:rsidR="005923E7">
              <w:rPr>
                <w:sz w:val="18"/>
                <w:szCs w:val="18"/>
              </w:rPr>
              <w:t xml:space="preserve"> system</w:t>
            </w:r>
            <w:bookmarkStart w:id="1" w:name="_GoBack"/>
            <w:bookmarkEnd w:id="1"/>
            <w:r w:rsidRPr="00F73980">
              <w:rPr>
                <w:sz w:val="18"/>
                <w:szCs w:val="18"/>
              </w:rPr>
              <w:t>.</w:t>
            </w:r>
          </w:p>
          <w:p w14:paraId="4B0CA12A" w14:textId="1399E990" w:rsidR="004263DE" w:rsidRPr="00F73980" w:rsidRDefault="004263DE" w:rsidP="000B00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73980">
              <w:rPr>
                <w:sz w:val="18"/>
                <w:szCs w:val="18"/>
              </w:rPr>
              <w:t xml:space="preserve">Any required letters of permission will be submitted within 30 days of each manuscript’s submission. </w:t>
            </w:r>
            <w:r w:rsidRPr="00F73980">
              <w:rPr>
                <w:iCs/>
                <w:sz w:val="18"/>
                <w:szCs w:val="18"/>
              </w:rPr>
              <w:t xml:space="preserve">If the required permissions are not supplied in a timely and accurate fashion, </w:t>
            </w:r>
            <w:r w:rsidRPr="00A8413C">
              <w:rPr>
                <w:i/>
                <w:iCs/>
                <w:sz w:val="18"/>
                <w:szCs w:val="18"/>
              </w:rPr>
              <w:t xml:space="preserve">The </w:t>
            </w:r>
            <w:r w:rsidR="00CC02AA">
              <w:rPr>
                <w:i/>
                <w:iCs/>
                <w:sz w:val="18"/>
                <w:szCs w:val="18"/>
              </w:rPr>
              <w:t xml:space="preserve">American </w:t>
            </w:r>
            <w:r>
              <w:rPr>
                <w:i/>
                <w:iCs/>
                <w:sz w:val="18"/>
                <w:szCs w:val="18"/>
              </w:rPr>
              <w:t xml:space="preserve">Journal of </w:t>
            </w:r>
            <w:r w:rsidR="00CC02AA">
              <w:rPr>
                <w:i/>
                <w:iCs/>
                <w:sz w:val="18"/>
                <w:szCs w:val="18"/>
              </w:rPr>
              <w:t xml:space="preserve">Clinical </w:t>
            </w:r>
            <w:r>
              <w:rPr>
                <w:i/>
                <w:iCs/>
                <w:sz w:val="18"/>
                <w:szCs w:val="18"/>
              </w:rPr>
              <w:t>Nutrition</w:t>
            </w:r>
            <w:r w:rsidRPr="00F73980">
              <w:rPr>
                <w:iCs/>
                <w:sz w:val="18"/>
                <w:szCs w:val="18"/>
              </w:rPr>
              <w:t xml:space="preserve"> may obtain these permissions and bill the supplement organizer an administrative fee of $75 per permission, in addition to any fees assessed by the copyright owners.</w:t>
            </w:r>
          </w:p>
          <w:p w14:paraId="3E8FB594" w14:textId="4C12101B" w:rsidR="004263DE" w:rsidRPr="00F73980" w:rsidRDefault="004263DE" w:rsidP="000B00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73980">
              <w:rPr>
                <w:sz w:val="18"/>
                <w:szCs w:val="18"/>
              </w:rPr>
              <w:t xml:space="preserve">A completed </w:t>
            </w:r>
            <w:r w:rsidRPr="00F73980">
              <w:rPr>
                <w:b/>
                <w:sz w:val="18"/>
                <w:szCs w:val="18"/>
              </w:rPr>
              <w:t xml:space="preserve">Supplement </w:t>
            </w:r>
            <w:r>
              <w:rPr>
                <w:b/>
                <w:sz w:val="18"/>
                <w:szCs w:val="18"/>
              </w:rPr>
              <w:t xml:space="preserve">Notification and </w:t>
            </w:r>
            <w:r w:rsidRPr="00F73980">
              <w:rPr>
                <w:b/>
                <w:sz w:val="18"/>
                <w:szCs w:val="18"/>
              </w:rPr>
              <w:t>Checklis</w:t>
            </w:r>
            <w:r>
              <w:rPr>
                <w:b/>
                <w:sz w:val="18"/>
                <w:szCs w:val="18"/>
              </w:rPr>
              <w:t>t for the Production Editor</w:t>
            </w:r>
            <w:r w:rsidRPr="00F73980">
              <w:rPr>
                <w:b/>
                <w:sz w:val="18"/>
                <w:szCs w:val="18"/>
              </w:rPr>
              <w:t xml:space="preserve"> </w:t>
            </w:r>
            <w:r w:rsidRPr="00F73980">
              <w:rPr>
                <w:sz w:val="18"/>
                <w:szCs w:val="18"/>
              </w:rPr>
              <w:t>is submitted to O</w:t>
            </w:r>
            <w:r w:rsidR="00F9684C">
              <w:rPr>
                <w:sz w:val="18"/>
                <w:szCs w:val="18"/>
              </w:rPr>
              <w:t xml:space="preserve">xford </w:t>
            </w:r>
            <w:r w:rsidRPr="00F73980">
              <w:rPr>
                <w:sz w:val="18"/>
                <w:szCs w:val="18"/>
              </w:rPr>
              <w:t>U</w:t>
            </w:r>
            <w:r w:rsidR="00F9684C">
              <w:rPr>
                <w:sz w:val="18"/>
                <w:szCs w:val="18"/>
              </w:rPr>
              <w:t xml:space="preserve">niversity </w:t>
            </w:r>
            <w:r w:rsidRPr="00F73980">
              <w:rPr>
                <w:sz w:val="18"/>
                <w:szCs w:val="18"/>
              </w:rPr>
              <w:t>P</w:t>
            </w:r>
            <w:r w:rsidR="00F9684C">
              <w:rPr>
                <w:sz w:val="18"/>
                <w:szCs w:val="18"/>
              </w:rPr>
              <w:t>ress</w:t>
            </w:r>
            <w:r w:rsidRPr="00F73980">
              <w:rPr>
                <w:sz w:val="18"/>
                <w:szCs w:val="18"/>
              </w:rPr>
              <w:t xml:space="preserve"> before the first manuscript submission.</w:t>
            </w:r>
          </w:p>
          <w:p w14:paraId="2A35C921" w14:textId="79B98A6B" w:rsidR="004263DE" w:rsidRPr="00F73980" w:rsidRDefault="004263DE" w:rsidP="000B00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73980">
              <w:rPr>
                <w:sz w:val="18"/>
                <w:szCs w:val="18"/>
              </w:rPr>
              <w:t xml:space="preserve">A </w:t>
            </w:r>
            <w:r w:rsidRPr="00F73980">
              <w:rPr>
                <w:b/>
                <w:sz w:val="18"/>
                <w:szCs w:val="18"/>
              </w:rPr>
              <w:t>list of all manuscripts</w:t>
            </w:r>
            <w:r w:rsidRPr="00F73980">
              <w:rPr>
                <w:sz w:val="18"/>
                <w:szCs w:val="18"/>
              </w:rPr>
              <w:t xml:space="preserve"> in the supplement publication is submitted to </w:t>
            </w:r>
            <w:r w:rsidR="00F9684C">
              <w:rPr>
                <w:sz w:val="18"/>
                <w:szCs w:val="18"/>
              </w:rPr>
              <w:t>Oxford University Press</w:t>
            </w:r>
            <w:r w:rsidRPr="00F73980">
              <w:rPr>
                <w:sz w:val="18"/>
                <w:szCs w:val="18"/>
              </w:rPr>
              <w:t xml:space="preserve"> before the first manuscript submission.</w:t>
            </w:r>
          </w:p>
          <w:p w14:paraId="6C71D313" w14:textId="662A3134" w:rsidR="004263DE" w:rsidRPr="00810598" w:rsidRDefault="004263DE" w:rsidP="000B00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F73980">
              <w:rPr>
                <w:sz w:val="18"/>
                <w:szCs w:val="18"/>
              </w:rPr>
              <w:t xml:space="preserve">All manuscripts are </w:t>
            </w:r>
            <w:r w:rsidRPr="00F73980">
              <w:rPr>
                <w:b/>
                <w:sz w:val="18"/>
                <w:szCs w:val="18"/>
              </w:rPr>
              <w:t xml:space="preserve">submitted on or before </w:t>
            </w:r>
            <w:r w:rsidRPr="00F73980">
              <w:rPr>
                <w:sz w:val="18"/>
                <w:szCs w:val="18"/>
              </w:rPr>
              <w:t>the agreed-upon deadline unles</w:t>
            </w:r>
            <w:r>
              <w:rPr>
                <w:sz w:val="18"/>
                <w:szCs w:val="18"/>
              </w:rPr>
              <w:t xml:space="preserve">s an extension is granted by </w:t>
            </w:r>
            <w:r w:rsidRPr="00A8413C">
              <w:rPr>
                <w:i/>
                <w:sz w:val="18"/>
                <w:szCs w:val="18"/>
              </w:rPr>
              <w:t>The</w:t>
            </w:r>
            <w:r w:rsidRPr="00CC02AA">
              <w:rPr>
                <w:i/>
                <w:sz w:val="18"/>
                <w:szCs w:val="18"/>
              </w:rPr>
              <w:t xml:space="preserve"> </w:t>
            </w:r>
            <w:r w:rsidR="00CC02AA" w:rsidRPr="00CC02AA">
              <w:rPr>
                <w:i/>
                <w:sz w:val="18"/>
                <w:szCs w:val="18"/>
              </w:rPr>
              <w:t>American</w:t>
            </w:r>
            <w:r w:rsidR="00CC02AA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Journal of </w:t>
            </w:r>
            <w:r w:rsidR="00CC02AA">
              <w:rPr>
                <w:i/>
                <w:sz w:val="18"/>
                <w:szCs w:val="18"/>
              </w:rPr>
              <w:t xml:space="preserve">Clinical </w:t>
            </w:r>
            <w:r>
              <w:rPr>
                <w:i/>
                <w:sz w:val="18"/>
                <w:szCs w:val="18"/>
              </w:rPr>
              <w:t xml:space="preserve">Nutrition </w:t>
            </w:r>
            <w:r>
              <w:rPr>
                <w:sz w:val="18"/>
                <w:szCs w:val="18"/>
              </w:rPr>
              <w:t>Editor.</w:t>
            </w:r>
            <w:r w:rsidRPr="00F73980">
              <w:rPr>
                <w:sz w:val="18"/>
                <w:szCs w:val="18"/>
              </w:rPr>
              <w:t xml:space="preserve"> The deadline for manuscript submission is normally </w:t>
            </w:r>
            <w:r w:rsidR="00F63B72">
              <w:rPr>
                <w:sz w:val="18"/>
                <w:szCs w:val="18"/>
              </w:rPr>
              <w:t>three</w:t>
            </w:r>
            <w:r w:rsidRPr="00F73980">
              <w:rPr>
                <w:sz w:val="18"/>
                <w:szCs w:val="18"/>
              </w:rPr>
              <w:t xml:space="preserve"> months after the date of the symposium or conference.</w:t>
            </w:r>
            <w:r w:rsidRPr="00F73980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4263DE" w14:paraId="1F9E54D9" w14:textId="77777777" w:rsidTr="000B003B">
        <w:trPr>
          <w:trHeight w:val="506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0CA700C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Coordinators(s)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5D3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  <w:tr w:rsidR="004263DE" w14:paraId="088DFE7E" w14:textId="77777777" w:rsidTr="000B003B">
        <w:trPr>
          <w:trHeight w:val="253"/>
        </w:trPr>
        <w:tc>
          <w:tcPr>
            <w:tcW w:w="3085" w:type="dxa"/>
            <w:vAlign w:val="center"/>
          </w:tcPr>
          <w:p w14:paraId="1829D077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3196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  <w:tr w:rsidR="004263DE" w14:paraId="026F9BFA" w14:textId="77777777" w:rsidTr="000B003B">
        <w:trPr>
          <w:trHeight w:val="6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A68E7B0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Sponsors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274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</w:tbl>
    <w:p w14:paraId="0EBF8583" w14:textId="77777777" w:rsidR="004263DE" w:rsidRDefault="004263DE" w:rsidP="004263DE">
      <w:pPr>
        <w:ind w:left="-547"/>
        <w:rPr>
          <w:sz w:val="18"/>
          <w:szCs w:val="18"/>
        </w:rPr>
      </w:pPr>
    </w:p>
    <w:p w14:paraId="6471B534" w14:textId="77777777" w:rsidR="004263DE" w:rsidRPr="000B4262" w:rsidRDefault="004263DE" w:rsidP="004263DE">
      <w:pPr>
        <w:ind w:left="-547"/>
        <w:rPr>
          <w:b/>
          <w:sz w:val="18"/>
          <w:szCs w:val="18"/>
        </w:rPr>
      </w:pPr>
      <w:r w:rsidRPr="000B4262">
        <w:rPr>
          <w:b/>
          <w:sz w:val="18"/>
          <w:szCs w:val="18"/>
        </w:rPr>
        <w:t>Disclosure Statement</w:t>
      </w:r>
    </w:p>
    <w:p w14:paraId="794168B9" w14:textId="77777777" w:rsidR="004263DE" w:rsidRDefault="004263DE" w:rsidP="004263DE">
      <w:pPr>
        <w:ind w:left="-547"/>
        <w:rPr>
          <w:sz w:val="18"/>
          <w:szCs w:val="18"/>
        </w:rPr>
      </w:pPr>
      <w:r>
        <w:rPr>
          <w:sz w:val="18"/>
          <w:szCs w:val="18"/>
        </w:rPr>
        <w:t>I have read the above statement and declare that relative to this publication:</w:t>
      </w:r>
    </w:p>
    <w:p w14:paraId="5D5B836E" w14:textId="77777777" w:rsidR="004263DE" w:rsidRDefault="004263DE" w:rsidP="004263DE">
      <w:pPr>
        <w:ind w:left="-547"/>
        <w:rPr>
          <w:sz w:val="18"/>
          <w:szCs w:val="18"/>
        </w:rPr>
      </w:pPr>
    </w:p>
    <w:tbl>
      <w:tblPr>
        <w:tblStyle w:val="TableGrid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263DE" w14:paraId="6D01981A" w14:textId="77777777" w:rsidTr="000B003B">
        <w:tc>
          <w:tcPr>
            <w:tcW w:w="8280" w:type="dxa"/>
          </w:tcPr>
          <w:p w14:paraId="1ACE077A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no relationships to disclose.</w:t>
            </w:r>
          </w:p>
        </w:tc>
      </w:tr>
      <w:tr w:rsidR="004263DE" w14:paraId="1C498BDE" w14:textId="77777777" w:rsidTr="000B003B">
        <w:tc>
          <w:tcPr>
            <w:tcW w:w="8280" w:type="dxa"/>
          </w:tcPr>
          <w:p w14:paraId="713513E7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  <w:tr w:rsidR="004263DE" w14:paraId="04BB0F3F" w14:textId="77777777" w:rsidTr="000B003B">
        <w:tc>
          <w:tcPr>
            <w:tcW w:w="8280" w:type="dxa"/>
          </w:tcPr>
          <w:p w14:paraId="4C877C5E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a relationship, disclosed below, that could represent or be perceived to represent a conflict of interest.</w:t>
            </w:r>
          </w:p>
        </w:tc>
      </w:tr>
    </w:tbl>
    <w:p w14:paraId="1744A959" w14:textId="77777777" w:rsidR="004263DE" w:rsidRDefault="004263DE" w:rsidP="004263DE">
      <w:pPr>
        <w:ind w:left="-547"/>
        <w:rPr>
          <w:sz w:val="18"/>
          <w:szCs w:val="18"/>
        </w:rPr>
      </w:pPr>
    </w:p>
    <w:tbl>
      <w:tblPr>
        <w:tblStyle w:val="TableGrid"/>
        <w:tblW w:w="9475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200"/>
      </w:tblGrid>
      <w:tr w:rsidR="004263DE" w14:paraId="15F70915" w14:textId="77777777" w:rsidTr="000B003B">
        <w:trPr>
          <w:trHeight w:val="1666"/>
        </w:trPr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14:paraId="40217D6B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potential conflict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3A7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</w:tbl>
    <w:p w14:paraId="4124352F" w14:textId="77777777" w:rsidR="004263DE" w:rsidRDefault="004263DE" w:rsidP="004263DE">
      <w:pPr>
        <w:ind w:left="-547"/>
        <w:rPr>
          <w:sz w:val="18"/>
          <w:szCs w:val="18"/>
        </w:rPr>
      </w:pPr>
    </w:p>
    <w:tbl>
      <w:tblPr>
        <w:tblStyle w:val="TableGrid"/>
        <w:tblW w:w="9475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60"/>
      </w:tblGrid>
      <w:tr w:rsidR="004263DE" w14:paraId="5F786894" w14:textId="77777777" w:rsidTr="000B003B">
        <w:trPr>
          <w:trHeight w:val="298"/>
        </w:trPr>
        <w:tc>
          <w:tcPr>
            <w:tcW w:w="2815" w:type="dxa"/>
            <w:tcBorders>
              <w:right w:val="single" w:sz="4" w:space="0" w:color="auto"/>
            </w:tcBorders>
            <w:vAlign w:val="center"/>
          </w:tcPr>
          <w:p w14:paraId="25191BA6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 Coordinator Signature: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566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</w:tbl>
    <w:p w14:paraId="2950DD65" w14:textId="77777777" w:rsidR="004263DE" w:rsidRDefault="004263DE" w:rsidP="004263DE">
      <w:pPr>
        <w:ind w:left="-547"/>
        <w:rPr>
          <w:sz w:val="18"/>
          <w:szCs w:val="18"/>
        </w:rPr>
      </w:pPr>
    </w:p>
    <w:tbl>
      <w:tblPr>
        <w:tblStyle w:val="TableGrid"/>
        <w:tblW w:w="979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653"/>
      </w:tblGrid>
      <w:tr w:rsidR="004263DE" w14:paraId="068D06F1" w14:textId="77777777" w:rsidTr="000B003B">
        <w:trPr>
          <w:trHeight w:val="361"/>
        </w:trPr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1E4A2730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875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</w:tbl>
    <w:p w14:paraId="6B4FF522" w14:textId="77777777" w:rsidR="004263DE" w:rsidRDefault="004263DE" w:rsidP="004263DE">
      <w:pPr>
        <w:ind w:left="-547"/>
        <w:rPr>
          <w:sz w:val="18"/>
          <w:szCs w:val="18"/>
        </w:rPr>
      </w:pPr>
    </w:p>
    <w:tbl>
      <w:tblPr>
        <w:tblStyle w:val="TableGrid"/>
        <w:tblW w:w="2813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257"/>
      </w:tblGrid>
      <w:tr w:rsidR="004263DE" w14:paraId="416C13CA" w14:textId="77777777" w:rsidTr="000B003B">
        <w:trPr>
          <w:trHeight w:val="325"/>
        </w:trPr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757C1248" w14:textId="77777777" w:rsidR="004263DE" w:rsidRDefault="004263DE" w:rsidP="000B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AF4" w14:textId="77777777" w:rsidR="004263DE" w:rsidRDefault="004263DE" w:rsidP="000B003B">
            <w:pPr>
              <w:rPr>
                <w:sz w:val="18"/>
                <w:szCs w:val="18"/>
              </w:rPr>
            </w:pPr>
          </w:p>
        </w:tc>
      </w:tr>
    </w:tbl>
    <w:p w14:paraId="6A3FFB5B" w14:textId="77777777" w:rsidR="004263DE" w:rsidRDefault="004263DE" w:rsidP="004263DE">
      <w:pPr>
        <w:ind w:left="-547"/>
        <w:rPr>
          <w:sz w:val="18"/>
          <w:szCs w:val="18"/>
        </w:rPr>
      </w:pPr>
    </w:p>
    <w:p w14:paraId="339ABD22" w14:textId="77777777" w:rsidR="004263DE" w:rsidRDefault="004263DE" w:rsidP="004263DE">
      <w:pPr>
        <w:ind w:left="-547"/>
        <w:jc w:val="center"/>
        <w:rPr>
          <w:sz w:val="18"/>
          <w:szCs w:val="18"/>
        </w:rPr>
      </w:pPr>
    </w:p>
    <w:p w14:paraId="52568A7B" w14:textId="77777777" w:rsidR="004263DE" w:rsidRPr="001A3C2F" w:rsidRDefault="004263DE" w:rsidP="004263DE">
      <w:pPr>
        <w:ind w:left="-547"/>
        <w:jc w:val="center"/>
      </w:pPr>
      <w:r>
        <w:rPr>
          <w:sz w:val="18"/>
          <w:szCs w:val="18"/>
        </w:rPr>
        <w:t>Return to: Marnie Vandenburg (marnie.vandenburg@oup.com)</w:t>
      </w:r>
    </w:p>
    <w:p w14:paraId="34CE4667" w14:textId="77777777" w:rsidR="002A5233" w:rsidRDefault="005923E7" w:rsidP="004263DE"/>
    <w:sectPr w:rsidR="002A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77B0B"/>
    <w:multiLevelType w:val="hybridMultilevel"/>
    <w:tmpl w:val="3028F368"/>
    <w:lvl w:ilvl="0" w:tplc="EDE8A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5EE41F25"/>
    <w:multiLevelType w:val="hybridMultilevel"/>
    <w:tmpl w:val="31AC0E4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DE"/>
    <w:rsid w:val="00001274"/>
    <w:rsid w:val="00335462"/>
    <w:rsid w:val="004263DE"/>
    <w:rsid w:val="005923E7"/>
    <w:rsid w:val="007E46B8"/>
    <w:rsid w:val="008F0125"/>
    <w:rsid w:val="00CC02AA"/>
    <w:rsid w:val="00D42D95"/>
    <w:rsid w:val="00F63B72"/>
    <w:rsid w:val="00F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C6A"/>
  <w15:chartTrackingRefBased/>
  <w15:docId w15:val="{85720BA3-D44A-4869-A7EA-2BD5E01F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DE"/>
    <w:pPr>
      <w:ind w:left="720"/>
      <w:contextualSpacing/>
    </w:pPr>
  </w:style>
  <w:style w:type="table" w:styleId="TableGrid">
    <w:name w:val="Table Grid"/>
    <w:basedOn w:val="TableNormal"/>
    <w:uiPriority w:val="59"/>
    <w:rsid w:val="0042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63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.oup.com/ajcn/pages/General_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Early</dc:creator>
  <cp:keywords/>
  <dc:description/>
  <cp:lastModifiedBy>Darren Early</cp:lastModifiedBy>
  <cp:revision>5</cp:revision>
  <cp:lastPrinted>2018-02-28T15:04:00Z</cp:lastPrinted>
  <dcterms:created xsi:type="dcterms:W3CDTF">2018-02-28T14:39:00Z</dcterms:created>
  <dcterms:modified xsi:type="dcterms:W3CDTF">2018-02-28T15:06:00Z</dcterms:modified>
</cp:coreProperties>
</file>